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Investor Day Planning Pack</w:t>
      </w:r>
    </w:p>
    <w:p>
      <w:r>
        <w:rPr>
          <w:b/>
          <w:color w:val="0F1F3D"/>
          <w:sz w:val="44"/>
        </w:rPr>
        <w:t>Investor Day — Planning Pack</w:t>
      </w:r>
    </w:p>
    <w:p/>
    <w:p>
      <w:r>
        <w:rPr>
          <w:i w:val="0"/>
        </w:rPr>
        <w:t>**Date:** [Date]   **Venue:** [Venue]   **Sponsor:** [CEO / CFO]   **Lead:** [Head of IR]</w:t>
      </w:r>
    </w:p>
    <w:p/>
    <w:p>
      <w:r>
        <w:rPr>
          <w:b/>
          <w:color w:val="0F1F3D"/>
          <w:sz w:val="26"/>
        </w:rPr>
        <w:t>Audience</w:t>
      </w:r>
    </w:p>
    <w:p>
      <w:pPr>
        <w:pStyle w:val="ListBullet"/>
      </w:pPr>
      <w:r>
        <w:t>Attendees: [N]   Buy-side / sell-side / press split: [%]</w:t>
      </w:r>
    </w:p>
    <w:p>
      <w:pPr>
        <w:pStyle w:val="ListBullet"/>
      </w:pPr>
      <w:r>
        <w:t>Webcast registrations: [N]</w:t>
      </w:r>
    </w:p>
    <w:p>
      <w:pPr>
        <w:pStyle w:val="ListBullet"/>
      </w:pPr>
      <w:r>
        <w:t>Distribution of investors by holding size: [note]</w:t>
      </w:r>
    </w:p>
    <w:p/>
    <w:p>
      <w:r>
        <w:rPr>
          <w:b/>
          <w:color w:val="0F1F3D"/>
          <w:sz w:val="26"/>
        </w:rPr>
        <w:t>Narrative arc</w:t>
      </w:r>
    </w:p>
    <w:p>
      <w:pPr>
        <w:pStyle w:val="ListNumber"/>
      </w:pPr>
      <w:r>
        <w:t>Where we are</w:t>
      </w:r>
    </w:p>
    <w:p>
      <w:pPr>
        <w:pStyle w:val="ListNumber"/>
      </w:pPr>
      <w:r>
        <w:t>What we've learned this year</w:t>
      </w:r>
    </w:p>
    <w:p>
      <w:pPr>
        <w:pStyle w:val="ListNumber"/>
      </w:pPr>
      <w:r>
        <w:t>Where we're going (and why)</w:t>
      </w:r>
    </w:p>
    <w:p>
      <w:pPr>
        <w:pStyle w:val="ListNumber"/>
      </w:pPr>
      <w:r>
        <w:t>How you'll measure us against this</w:t>
      </w:r>
    </w:p>
    <w:p/>
    <w:p>
      <w:r>
        <w:rPr>
          <w:b/>
          <w:color w:val="0F1F3D"/>
          <w:sz w:val="26"/>
        </w:rPr>
        <w:t>Speakers and slots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Topic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Speaker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Duration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Slides due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Content milestones</w:t>
      </w:r>
    </w:p>
    <w:p>
      <w:pPr>
        <w:pStyle w:val="ListBullet"/>
      </w:pPr>
      <w:r>
        <w:t>T-12 weeks: outline locked</w:t>
      </w:r>
    </w:p>
    <w:p>
      <w:pPr>
        <w:pStyle w:val="ListBullet"/>
      </w:pPr>
      <w:r>
        <w:t>T-8 weeks: first full draft of every deck</w:t>
      </w:r>
    </w:p>
    <w:p>
      <w:pPr>
        <w:pStyle w:val="ListBullet"/>
      </w:pPr>
      <w:r>
        <w:t>T-4 weeks: rehearsal 1 with full leadership team</w:t>
      </w:r>
    </w:p>
    <w:p>
      <w:pPr>
        <w:pStyle w:val="ListBullet"/>
      </w:pPr>
      <w:r>
        <w:t>T-2 weeks: rehearsal 2, on-stage at venue if possible</w:t>
      </w:r>
    </w:p>
    <w:p>
      <w:pPr>
        <w:pStyle w:val="ListBullet"/>
      </w:pPr>
      <w:r>
        <w:t>T-3 days: final lock, no changes after this point</w:t>
      </w:r>
    </w:p>
    <w:p/>
    <w:p>
      <w:r>
        <w:rPr>
          <w:b/>
          <w:color w:val="0F1F3D"/>
          <w:sz w:val="26"/>
        </w:rPr>
        <w:t>Logistics</w:t>
      </w:r>
    </w:p>
    <w:p>
      <w:pPr>
        <w:pStyle w:val="ListBullet"/>
      </w:pPr>
      <w:r>
        <w:t>Venue: capacity, accessibility, AV</w:t>
      </w:r>
    </w:p>
    <w:p>
      <w:pPr>
        <w:pStyle w:val="ListBullet"/>
      </w:pPr>
      <w:r>
        <w:t>Catering: dietary, allergens, halal / kosher / veg</w:t>
      </w:r>
    </w:p>
    <w:p>
      <w:pPr>
        <w:pStyle w:val="ListBullet"/>
      </w:pPr>
      <w:r>
        <w:t>Hospitality: pre-event reception, post-event drinks</w:t>
      </w:r>
    </w:p>
    <w:p>
      <w:pPr>
        <w:pStyle w:val="ListBullet"/>
      </w:pPr>
      <w:r>
        <w:t>Webcast: dry-run, embargo lift, transcript posted</w:t>
      </w:r>
    </w:p>
    <w:p/>
    <w:p>
      <w:r>
        <w:rPr>
          <w:b/>
          <w:color w:val="0F1F3D"/>
          <w:sz w:val="26"/>
        </w:rPr>
        <w:t>Comms</w:t>
      </w:r>
    </w:p>
    <w:p>
      <w:pPr>
        <w:pStyle w:val="ListBullet"/>
      </w:pPr>
      <w:r>
        <w:t>Press release: drafted T-4 weeks, embargoed until [time]</w:t>
      </w:r>
    </w:p>
    <w:p>
      <w:pPr>
        <w:pStyle w:val="ListBullet"/>
      </w:pPr>
      <w:r>
        <w:t>Materials posted to website: at start of event</w:t>
      </w:r>
    </w:p>
    <w:p>
      <w:pPr>
        <w:pStyle w:val="ListBullet"/>
      </w:pPr>
      <w:r>
        <w:t>Q&amp;A on the day: chaired by [Name]; pre-submitted questions weighted</w:t>
      </w:r>
    </w:p>
    <w:p/>
    <w:p>
      <w:r>
        <w:rPr>
          <w:b/>
          <w:color w:val="0F1F3D"/>
          <w:sz w:val="26"/>
        </w:rPr>
        <w:t>After</w:t>
      </w:r>
    </w:p>
    <w:p>
      <w:pPr>
        <w:pStyle w:val="ListBullet"/>
      </w:pPr>
      <w:r>
        <w:t>Within 24h: thank-you to all attendees with replay link</w:t>
      </w:r>
    </w:p>
    <w:p>
      <w:pPr>
        <w:pStyle w:val="ListBullet"/>
      </w:pPr>
      <w:r>
        <w:t>Within 7 days: investor feedback summary to leadership team</w:t>
      </w:r>
    </w:p>
    <w:p>
      <w:pPr>
        <w:pStyle w:val="ListBullet"/>
      </w:pPr>
      <w:r>
        <w:t>Within 30 days: retrospective and next year's date locked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