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EA Handover — [Executive name]</w:t>
      </w:r>
    </w:p>
    <w:p>
      <w:r>
        <w:rPr>
          <w:b/>
          <w:color w:val="5B6478"/>
        </w:rPr>
        <w:t xml:space="preserve">Prepared by: </w:t>
      </w:r>
      <w:r>
        <w:t>[Your name]</w:t>
      </w:r>
      <w:r>
        <w:t xml:space="preserve">    </w:t>
      </w:r>
      <w:r>
        <w:rPr>
          <w:b/>
          <w:color w:val="5B6478"/>
        </w:rPr>
        <w:t xml:space="preserve">Period covered: </w:t>
      </w:r>
      <w:r>
        <w:t>[Dates]</w:t>
      </w:r>
    </w:p>
    <w:p>
      <w:r>
        <w:rPr>
          <w:b/>
          <w:color w:val="0F1F3D"/>
          <w:sz w:val="26"/>
        </w:rPr>
        <w:t>1. The executive at a glance</w:t>
      </w:r>
    </w:p>
    <w:p>
      <w:pPr>
        <w:pStyle w:val="ListBullet"/>
      </w:pPr>
      <w:r>
        <w:t>Working style: [Notes]</w:t>
      </w:r>
    </w:p>
    <w:p>
      <w:pPr>
        <w:pStyle w:val="ListBullet"/>
      </w:pPr>
      <w:r>
        <w:t>Communication preferences: [Notes]</w:t>
      </w:r>
    </w:p>
    <w:p>
      <w:pPr>
        <w:pStyle w:val="ListBullet"/>
      </w:pPr>
      <w:r>
        <w:t>Non-negotiables: [Notes]</w:t>
      </w:r>
    </w:p>
    <w:p>
      <w:r>
        <w:rPr>
          <w:b/>
          <w:color w:val="0F1F3D"/>
          <w:sz w:val="26"/>
        </w:rPr>
        <w:t>2. Recurring rhythm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Cadence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What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Notes</w:t>
            </w:r>
          </w:p>
        </w:tc>
      </w:tr>
      <w:tr>
        <w:tc>
          <w:tcPr>
            <w:tcW w:type="dxa" w:w="3324"/>
          </w:tcPr>
          <w:p>
            <w:r>
              <w:t>Daily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Weekly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Monthly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Quarterly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>
      <w:r>
        <w:rPr>
          <w:b/>
          <w:color w:val="0F1F3D"/>
          <w:sz w:val="26"/>
        </w:rPr>
        <w:t>3. In-flight items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Item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Status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Next step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Due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>
      <w:r>
        <w:rPr>
          <w:b/>
          <w:color w:val="0F1F3D"/>
          <w:sz w:val="26"/>
        </w:rPr>
        <w:t>4. Key relationships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Role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Why they matter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How to reach them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>
      <w:r>
        <w:rPr>
          <w:b/>
          <w:color w:val="0F1F3D"/>
          <w:sz w:val="26"/>
        </w:rPr>
        <w:t>5. Systems &amp; access</w:t>
      </w:r>
    </w:p>
    <w:p>
      <w:pPr>
        <w:pStyle w:val="ListBullet"/>
      </w:pPr>
      <w:r>
        <w:t>Email: [Setup notes]</w:t>
      </w:r>
    </w:p>
    <w:p>
      <w:pPr>
        <w:pStyle w:val="ListBullet"/>
      </w:pPr>
      <w:r>
        <w:t>Calendar: [Access notes]</w:t>
      </w:r>
    </w:p>
    <w:p>
      <w:pPr>
        <w:pStyle w:val="ListBullet"/>
      </w:pPr>
      <w:r>
        <w:t>Travel: [Agency, ref, login]</w:t>
      </w:r>
    </w:p>
    <w:p>
      <w:pPr>
        <w:pStyle w:val="ListBullet"/>
      </w:pPr>
      <w:r>
        <w:t>Finance: [Approval limits]</w:t>
      </w:r>
    </w:p>
    <w:p>
      <w:r>
        <w:rPr>
          <w:b/>
          <w:color w:val="0F1F3D"/>
          <w:sz w:val="26"/>
        </w:rPr>
        <w:t>6. Suppliers</w:t>
      </w:r>
    </w:p>
    <w:p>
      <w:pPr>
        <w:pStyle w:val="ListBullet"/>
      </w:pPr>
      <w:r>
        <w:t>[Name, contact, what for]</w:t>
      </w:r>
    </w:p>
    <w:p>
      <w:r>
        <w:rPr>
          <w:b/>
          <w:color w:val="0F1F3D"/>
          <w:sz w:val="26"/>
        </w:rPr>
        <w:t>7. Unwritten rules</w:t>
      </w:r>
    </w:p>
    <w:p>
      <w:pPr>
        <w:pStyle w:val="ListBullet"/>
      </w:pPr>
      <w:r>
        <w:t>[Thing the new EA would otherwise learn the hard way]</w:t>
      </w:r>
    </w:p>
    <w:p>
      <w:r>
        <w:rPr>
          <w:b/>
          <w:color w:val="0F1F3D"/>
          <w:sz w:val="26"/>
        </w:rPr>
        <w:t>8. Open questions for your successor</w:t>
      </w:r>
    </w:p>
    <w:p>
      <w:pPr>
        <w:pStyle w:val="ListBullet"/>
      </w:pPr>
      <w:r>
        <w:t>[Anything you have not had time to resolve]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