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Compensation Committee Agenda</w:t>
      </w:r>
    </w:p>
    <w:p>
      <w:r>
        <w:rPr>
          <w:b/>
          <w:color w:val="0F1F3D"/>
          <w:sz w:val="44"/>
        </w:rPr>
        <w:t>Compensation Committee — Agenda</w:t>
      </w:r>
    </w:p>
    <w:p/>
    <w:p>
      <w:r>
        <w:rPr>
          <w:i w:val="0"/>
        </w:rPr>
        <w:t>**Date:** [Date]   **Chair:** [Name]   **In attendance:** CEO (for context, not for own item)</w:t>
      </w:r>
    </w:p>
    <w:p/>
    <w:p>
      <w:r>
        <w:rPr>
          <w:b/>
          <w:color w:val="0F1F3D"/>
          <w:sz w:val="26"/>
        </w:rPr>
        <w:t>Standing items</w:t>
      </w:r>
    </w:p>
    <w:p>
      <w:pPr>
        <w:pStyle w:val="ListNumber"/>
      </w:pPr>
      <w:r>
        <w:t>Apologies, quorum, declarations of interest</w:t>
      </w:r>
    </w:p>
    <w:p>
      <w:pPr>
        <w:pStyle w:val="ListNumber"/>
      </w:pPr>
      <w:r>
        <w:t>Minutes of previous meeting and matters arising</w:t>
      </w:r>
    </w:p>
    <w:p>
      <w:pPr>
        <w:pStyle w:val="ListNumber"/>
      </w:pPr>
      <w:r>
        <w:t>Update on external pay market trends from advisors</w:t>
      </w:r>
    </w:p>
    <w:p>
      <w:pPr>
        <w:pStyle w:val="ListNumber"/>
      </w:pPr>
      <w:r>
        <w:t>Headcount and pay-bill update from CFO</w:t>
      </w:r>
    </w:p>
    <w:p>
      <w:pPr>
        <w:pStyle w:val="ListNumber"/>
      </w:pPr>
      <w:r>
        <w:t>Any ad hoc compensation cases since last meeting</w:t>
      </w:r>
    </w:p>
    <w:p/>
    <w:p>
      <w:r>
        <w:rPr>
          <w:b/>
          <w:color w:val="0F1F3D"/>
          <w:sz w:val="26"/>
        </w:rPr>
        <w:t>Annual cycle (typical timing — adjust to fiscal year)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Quarter</w:t>
            </w:r>
          </w:p>
        </w:tc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Items</w:t>
            </w:r>
          </w:p>
        </w:tc>
      </w:tr>
      <w:tr>
        <w:tc>
          <w:tcPr>
            <w:tcW w:type="dxa" w:w="4986"/>
          </w:tcPr>
          <w:p>
            <w:r>
              <w:t>Q1</w:t>
            </w:r>
          </w:p>
        </w:tc>
        <w:tc>
          <w:tcPr>
            <w:tcW w:type="dxa" w:w="4986"/>
          </w:tcPr>
          <w:p>
            <w:r>
              <w:t>Set CEO and exec performance metrics for the year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Set company-wide bonus pool target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Approve annual pay review budget</w:t>
            </w:r>
          </w:p>
        </w:tc>
      </w:tr>
      <w:tr>
        <w:tc>
          <w:tcPr>
            <w:tcW w:type="dxa" w:w="4986"/>
          </w:tcPr>
          <w:p>
            <w:r>
              <w:t>Q2</w:t>
            </w:r>
          </w:p>
        </w:tc>
        <w:tc>
          <w:tcPr>
            <w:tcW w:type="dxa" w:w="4986"/>
          </w:tcPr>
          <w:p>
            <w:r>
              <w:t>Mid-year review of bonus accrual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Salary review outcomes signed off</w:t>
            </w:r>
          </w:p>
        </w:tc>
      </w:tr>
      <w:tr>
        <w:tc>
          <w:tcPr>
            <w:tcW w:type="dxa" w:w="4986"/>
          </w:tcPr>
          <w:p>
            <w:r>
              <w:t>Q3</w:t>
            </w:r>
          </w:p>
        </w:tc>
        <w:tc>
          <w:tcPr>
            <w:tcW w:type="dxa" w:w="4986"/>
          </w:tcPr>
          <w:p>
            <w:r>
              <w:t>Refresh of CEO pay benchmark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LTIP / share scheme grant decisions</w:t>
            </w:r>
          </w:p>
        </w:tc>
      </w:tr>
      <w:tr>
        <w:tc>
          <w:tcPr>
            <w:tcW w:type="dxa" w:w="4986"/>
          </w:tcPr>
          <w:p>
            <w:r>
              <w:t>Q4</w:t>
            </w:r>
          </w:p>
        </w:tc>
        <w:tc>
          <w:tcPr>
            <w:tcW w:type="dxa" w:w="4986"/>
          </w:tcPr>
          <w:p>
            <w:r>
              <w:t>Year-end performance assessment of CEO and execs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Bonus determinations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Draft remuneration report for AGM</w:t>
            </w:r>
          </w:p>
        </w:tc>
      </w:tr>
    </w:tbl>
    <w:p/>
    <w:p>
      <w:r>
        <w:rPr>
          <w:b/>
          <w:color w:val="0F1F3D"/>
          <w:sz w:val="26"/>
        </w:rPr>
        <w:t>Sensitivities to flag</w:t>
      </w:r>
    </w:p>
    <w:p>
      <w:pPr>
        <w:pStyle w:val="ListBullet"/>
      </w:pPr>
      <w:r>
        <w:t>Any items where a director is conflicted</w:t>
      </w:r>
    </w:p>
    <w:p>
      <w:pPr>
        <w:pStyle w:val="ListBullet"/>
      </w:pPr>
      <w:r>
        <w:t>External signal-sensitivity (e.g. CEO pay vs broader employee pay)</w:t>
      </w:r>
    </w:p>
    <w:p>
      <w:pPr>
        <w:pStyle w:val="ListBullet"/>
      </w:pPr>
      <w:r>
        <w:t>Shareholder consultation requirements</w:t>
      </w:r>
    </w:p>
    <w:p/>
    <w:p>
      <w:r>
        <w:rPr>
          <w:b/>
          <w:color w:val="0F1F3D"/>
          <w:sz w:val="26"/>
        </w:rPr>
        <w:t>Outputs</w:t>
      </w:r>
    </w:p>
    <w:p>
      <w:pPr>
        <w:pStyle w:val="ListBullet"/>
      </w:pPr>
      <w:r>
        <w:t>Recommendations to the board (with rationale)</w:t>
      </w:r>
    </w:p>
    <w:p>
      <w:pPr>
        <w:pStyle w:val="ListBullet"/>
      </w:pPr>
      <w:r>
        <w:t>Annual remuneration report content for the AGM</w:t>
      </w:r>
    </w:p>
    <w:p>
      <w:pPr>
        <w:pStyle w:val="ListBullet"/>
      </w:pPr>
      <w:r>
        <w:t>Confidential minutes — separate distribution list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